
<file path=[Content_Types].xml><?xml version="1.0" encoding="utf-8"?>
<Types xmlns="http://schemas.openxmlformats.org/package/2006/content-types">
  <Default Extension="xml" ContentType="application/xml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e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86607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20" w:line="240" w:lineRule="auto"/>
        <w:jc w:val="center"/>
        <w:textAlignment w:val="auto"/>
      </w:pPr>
      <w:bookmarkStart w:id="0" w:name="_GoBack"/>
      <w:bookmarkEnd w:id="0"/>
      <w:r>
        <w:rPr>
          <w:rFonts w:ascii="微软雅黑" w:hAnsi="微软雅黑" w:eastAsia="微软雅黑"/>
          <w:b/>
          <w:color w:val="222222"/>
          <w:sz w:val="36"/>
        </w:rPr>
        <w:t>李志彤</w:t>
      </w:r>
    </w:p>
    <w:p w14:paraId="1E31413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20" w:line="240" w:lineRule="auto"/>
        <w:jc w:val="center"/>
        <w:textAlignment w:val="auto"/>
      </w:pPr>
      <w:r>
        <w:rPr>
          <w:rFonts w:ascii="微软雅黑" w:hAnsi="微软雅黑" w:eastAsia="微软雅黑"/>
          <w:b/>
          <w:color w:val="1F3A5F"/>
          <w:sz w:val="20"/>
        </w:rPr>
        <w:t>用户研究 · 消费者洞察 · 品牌增长　｜　2027 届校招</w:t>
      </w:r>
    </w:p>
    <w:p w14:paraId="23E8054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40" w:line="240" w:lineRule="auto"/>
        <w:jc w:val="center"/>
        <w:textAlignment w:val="auto"/>
      </w:pPr>
      <w:r>
        <w:rPr>
          <w:rFonts w:ascii="微软雅黑" w:hAnsi="微软雅黑" w:eastAsia="微软雅黑"/>
          <w:b w:val="0"/>
          <w:color w:val="595959"/>
          <w:sz w:val="17"/>
        </w:rPr>
        <w:t>19090201862　｜　17653133873@163.com　｜　香港城市大学 社会学硕士在读　｜　2027.06 毕业，可提前实习</w:t>
      </w:r>
    </w:p>
    <w:p w14:paraId="3E5CC44A">
      <w:pPr>
        <w:keepNext w:val="0"/>
        <w:keepLines w:val="0"/>
        <w:pageBreakBefore w:val="0"/>
        <w:widowControl/>
        <w:pBdr>
          <w:bottom w:val="single" w:color="1F3A5F" w:sz="6" w:space="2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52" w:after="20" w:line="240" w:lineRule="auto"/>
        <w:textAlignment w:val="auto"/>
      </w:pPr>
      <w:r>
        <w:rPr>
          <w:rFonts w:ascii="微软雅黑" w:hAnsi="微软雅黑" w:eastAsia="微软雅黑"/>
          <w:b/>
          <w:color w:val="1F3A5F"/>
          <w:sz w:val="23"/>
        </w:rPr>
        <w:t>个人优势</w:t>
      </w:r>
    </w:p>
    <w:p w14:paraId="48B9D07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7" w:line="240" w:lineRule="auto"/>
        <w:textAlignment w:val="auto"/>
      </w:pPr>
      <w:r>
        <w:rPr>
          <w:rFonts w:ascii="微软雅黑" w:hAnsi="微软雅黑" w:eastAsia="微软雅黑"/>
          <w:b/>
          <w:color w:val="1F3A5F"/>
          <w:sz w:val="18"/>
        </w:rPr>
        <w:t xml:space="preserve">• </w:t>
      </w:r>
      <w:r>
        <w:rPr>
          <w:rFonts w:ascii="微软雅黑" w:hAnsi="微软雅黑" w:eastAsia="微软雅黑"/>
          <w:b/>
          <w:color w:val="222222"/>
          <w:sz w:val="18"/>
        </w:rPr>
        <w:t>复合研究背景：</w:t>
      </w:r>
      <w:r>
        <w:rPr>
          <w:rFonts w:ascii="微软雅黑" w:hAnsi="微软雅黑" w:eastAsia="微软雅黑"/>
          <w:b w:val="0"/>
          <w:color w:val="222222"/>
          <w:sz w:val="18"/>
        </w:rPr>
        <w:t>广告学本科 + 社会学硕士，系统掌握定性与定量研究方法（深度访谈、问卷设计、SPSS 统计），兼具商业敏感与研究功底。</w:t>
      </w:r>
    </w:p>
    <w:p w14:paraId="149A3DB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7" w:line="240" w:lineRule="auto"/>
        <w:textAlignment w:val="auto"/>
      </w:pPr>
      <w:r>
        <w:rPr>
          <w:rFonts w:ascii="微软雅黑" w:hAnsi="微软雅黑" w:eastAsia="微软雅黑"/>
          <w:b/>
          <w:color w:val="1F3A5F"/>
          <w:sz w:val="18"/>
        </w:rPr>
        <w:t xml:space="preserve">• </w:t>
      </w:r>
      <w:r>
        <w:rPr>
          <w:rFonts w:ascii="微软雅黑" w:hAnsi="微软雅黑" w:eastAsia="微软雅黑"/>
          <w:b/>
          <w:color w:val="222222"/>
          <w:sz w:val="18"/>
        </w:rPr>
        <w:t>4A 实战经验：</w:t>
      </w:r>
      <w:r>
        <w:rPr>
          <w:rFonts w:ascii="微软雅黑" w:hAnsi="微软雅黑" w:eastAsia="微软雅黑"/>
          <w:b w:val="0"/>
          <w:color w:val="222222"/>
          <w:sz w:val="18"/>
        </w:rPr>
        <w:t>群邑、电通两家 4A 1.5 年一线用户研究与品牌策划，服务伊利、蒙牛、华为荣耀等头部客户，研究结论直接驱动预算决策。</w:t>
      </w:r>
    </w:p>
    <w:p w14:paraId="5CC0411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7" w:line="240" w:lineRule="auto"/>
        <w:textAlignment w:val="auto"/>
      </w:pPr>
      <w:r>
        <w:rPr>
          <w:rFonts w:ascii="微软雅黑" w:hAnsi="微软雅黑" w:eastAsia="微软雅黑"/>
          <w:b/>
          <w:color w:val="1F3A5F"/>
          <w:sz w:val="18"/>
        </w:rPr>
        <w:t xml:space="preserve">• </w:t>
      </w:r>
      <w:r>
        <w:rPr>
          <w:rFonts w:ascii="微软雅黑" w:hAnsi="微软雅黑" w:eastAsia="微软雅黑"/>
          <w:b/>
          <w:color w:val="222222"/>
          <w:sz w:val="18"/>
        </w:rPr>
        <w:t>结果导向：</w:t>
      </w:r>
      <w:r>
        <w:rPr>
          <w:rFonts w:ascii="微软雅黑" w:hAnsi="微软雅黑" w:eastAsia="微软雅黑"/>
          <w:b w:val="0"/>
          <w:color w:val="222222"/>
          <w:sz w:val="18"/>
        </w:rPr>
        <w:t>主导 IP 项目单日 GMV 破千万、总曝光 2.3 亿+；多轮优化实现用户触达 +45%、ROI +22%、CTR +17%。</w:t>
      </w:r>
    </w:p>
    <w:p w14:paraId="1C0725A4">
      <w:pPr>
        <w:keepNext w:val="0"/>
        <w:keepLines w:val="0"/>
        <w:pageBreakBefore w:val="0"/>
        <w:widowControl/>
        <w:pBdr>
          <w:bottom w:val="single" w:color="1F3A5F" w:sz="6" w:space="2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52" w:after="20" w:line="240" w:lineRule="auto"/>
        <w:textAlignment w:val="auto"/>
      </w:pPr>
      <w:r>
        <w:rPr>
          <w:rFonts w:ascii="微软雅黑" w:hAnsi="微软雅黑" w:eastAsia="微软雅黑"/>
          <w:b/>
          <w:color w:val="1F3A5F"/>
          <w:sz w:val="23"/>
        </w:rPr>
        <w:t>核心技能</w:t>
      </w:r>
    </w:p>
    <w:p w14:paraId="4952FCA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7" w:line="240" w:lineRule="auto"/>
        <w:textAlignment w:val="auto"/>
      </w:pPr>
      <w:r>
        <w:rPr>
          <w:rFonts w:ascii="微软雅黑" w:hAnsi="微软雅黑" w:eastAsia="微软雅黑"/>
          <w:b/>
          <w:color w:val="1F3A5F"/>
          <w:sz w:val="18"/>
        </w:rPr>
        <w:t xml:space="preserve">• </w:t>
      </w:r>
      <w:r>
        <w:rPr>
          <w:rFonts w:ascii="微软雅黑" w:hAnsi="微软雅黑" w:eastAsia="微软雅黑"/>
          <w:b/>
          <w:color w:val="222222"/>
          <w:sz w:val="18"/>
        </w:rPr>
        <w:t>用户研究：</w:t>
      </w:r>
      <w:r>
        <w:rPr>
          <w:rFonts w:ascii="微软雅黑" w:hAnsi="微软雅黑" w:eastAsia="微软雅黑"/>
          <w:b w:val="0"/>
          <w:color w:val="222222"/>
          <w:sz w:val="18"/>
        </w:rPr>
        <w:t>用户画像、人群分层、用户旅程地图、深度访谈、问卷设计、竞品与舆情分析</w:t>
      </w:r>
    </w:p>
    <w:p w14:paraId="7D6BA65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7" w:line="240" w:lineRule="auto"/>
        <w:textAlignment w:val="auto"/>
      </w:pPr>
      <w:r>
        <w:rPr>
          <w:rFonts w:ascii="微软雅黑" w:hAnsi="微软雅黑" w:eastAsia="微软雅黑"/>
          <w:b/>
          <w:color w:val="1F3A5F"/>
          <w:sz w:val="18"/>
        </w:rPr>
        <w:t xml:space="preserve">• </w:t>
      </w:r>
      <w:r>
        <w:rPr>
          <w:rFonts w:ascii="微软雅黑" w:hAnsi="微软雅黑" w:eastAsia="微软雅黑"/>
          <w:b/>
          <w:color w:val="222222"/>
          <w:sz w:val="18"/>
        </w:rPr>
        <w:t>定量与数据：</w:t>
      </w:r>
      <w:r>
        <w:rPr>
          <w:rFonts w:ascii="微软雅黑" w:hAnsi="微软雅黑" w:eastAsia="微软雅黑"/>
          <w:b w:val="0"/>
          <w:color w:val="222222"/>
          <w:sz w:val="18"/>
        </w:rPr>
        <w:t>SPSS、数据清洗与整理（Python / Excel）、用户行为与销售数据分析、指标体系搭建</w:t>
      </w:r>
    </w:p>
    <w:p w14:paraId="0CBDCF4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7" w:line="240" w:lineRule="auto"/>
        <w:textAlignment w:val="auto"/>
      </w:pPr>
      <w:r>
        <w:rPr>
          <w:rFonts w:ascii="微软雅黑" w:hAnsi="微软雅黑" w:eastAsia="微软雅黑"/>
          <w:b/>
          <w:color w:val="1F3A5F"/>
          <w:sz w:val="18"/>
        </w:rPr>
        <w:t xml:space="preserve">• </w:t>
      </w:r>
      <w:r>
        <w:rPr>
          <w:rFonts w:ascii="微软雅黑" w:hAnsi="微软雅黑" w:eastAsia="微软雅黑"/>
          <w:b/>
          <w:color w:val="222222"/>
          <w:sz w:val="18"/>
        </w:rPr>
        <w:t>品牌增长：</w:t>
      </w:r>
      <w:r>
        <w:rPr>
          <w:rFonts w:ascii="微软雅黑" w:hAnsi="微软雅黑" w:eastAsia="微软雅黑"/>
          <w:b w:val="0"/>
          <w:color w:val="222222"/>
          <w:sz w:val="18"/>
        </w:rPr>
        <w:t>品牌策略、整合营销传播、内容策划、UGC / 裂变、私域运营、投放优化（ROI / CTR）</w:t>
      </w:r>
    </w:p>
    <w:p w14:paraId="2D1946B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7" w:line="240" w:lineRule="auto"/>
        <w:textAlignment w:val="auto"/>
        <w:rPr>
          <w:rFonts w:hint="default" w:eastAsia="微软雅黑"/>
          <w:lang w:val="en-US" w:eastAsia="zh-CN"/>
        </w:rPr>
      </w:pPr>
      <w:r>
        <w:rPr>
          <w:rFonts w:ascii="微软雅黑" w:hAnsi="微软雅黑" w:eastAsia="微软雅黑"/>
          <w:b/>
          <w:color w:val="1F3A5F"/>
          <w:sz w:val="18"/>
        </w:rPr>
        <w:t xml:space="preserve">• </w:t>
      </w:r>
      <w:r>
        <w:rPr>
          <w:rFonts w:ascii="微软雅黑" w:hAnsi="微软雅黑" w:eastAsia="微软雅黑"/>
          <w:b/>
          <w:color w:val="222222"/>
          <w:sz w:val="18"/>
        </w:rPr>
        <w:t>AI 应用与工具：</w:t>
      </w:r>
      <w:r>
        <w:rPr>
          <w:rFonts w:ascii="微软雅黑" w:hAnsi="微软雅黑" w:eastAsia="微软雅黑"/>
          <w:b w:val="0"/>
          <w:color w:val="222222"/>
          <w:sz w:val="18"/>
        </w:rPr>
        <w:t>熟练运用 AIGC 工具完成视觉生成与创意内容生产；基础 Python；Adobe 全家桶（PS / Pr / AI）、Excel、PowerPoint</w:t>
      </w:r>
      <w:r>
        <w:rPr>
          <w:rFonts w:hint="eastAsia"/>
          <w:b w:val="0"/>
          <w:color w:val="222222"/>
          <w:sz w:val="18"/>
          <w:lang w:val="en-US" w:eastAsia="zh-CN"/>
        </w:rPr>
        <w:t>等基础工具</w:t>
      </w:r>
    </w:p>
    <w:p w14:paraId="23639CF4">
      <w:pPr>
        <w:keepNext w:val="0"/>
        <w:keepLines w:val="0"/>
        <w:pageBreakBefore w:val="0"/>
        <w:widowControl/>
        <w:pBdr>
          <w:bottom w:val="single" w:color="1F3A5F" w:sz="6" w:space="2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52" w:after="20" w:line="240" w:lineRule="auto"/>
        <w:textAlignment w:val="auto"/>
      </w:pPr>
      <w:r>
        <w:rPr>
          <w:rFonts w:ascii="微软雅黑" w:hAnsi="微软雅黑" w:eastAsia="微软雅黑"/>
          <w:b/>
          <w:color w:val="1F3A5F"/>
          <w:sz w:val="23"/>
        </w:rPr>
        <w:t>教育背景</w:t>
      </w:r>
    </w:p>
    <w:p w14:paraId="4ADEA4F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28" w:after="7" w:line="240" w:lineRule="auto"/>
        <w:textAlignment w:val="auto"/>
      </w:pPr>
      <w:r>
        <w:rPr>
          <w:rFonts w:ascii="微软雅黑" w:hAnsi="微软雅黑" w:eastAsia="微软雅黑"/>
          <w:b/>
          <w:color w:val="222222"/>
          <w:sz w:val="20"/>
        </w:rPr>
        <w:t>香港城市大学 · 社会学 硕士</w:t>
      </w:r>
      <w:r>
        <w:rPr>
          <w:rFonts w:ascii="微软雅黑" w:hAnsi="微软雅黑" w:eastAsia="微软雅黑"/>
          <w:b w:val="0"/>
          <w:color w:val="595959"/>
          <w:sz w:val="18"/>
        </w:rPr>
        <w:t>　2026.09–2027.06</w:t>
      </w:r>
    </w:p>
    <w:p w14:paraId="149D977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7" w:line="240" w:lineRule="auto"/>
        <w:textAlignment w:val="auto"/>
      </w:pPr>
      <w:r>
        <w:rPr>
          <w:rFonts w:ascii="微软雅黑" w:hAnsi="微软雅黑" w:eastAsia="微软雅黑"/>
          <w:b/>
          <w:color w:val="1F3A5F"/>
          <w:sz w:val="18"/>
        </w:rPr>
        <w:t xml:space="preserve">• </w:t>
      </w:r>
      <w:r>
        <w:rPr>
          <w:rFonts w:ascii="微软雅黑" w:hAnsi="微软雅黑" w:eastAsia="微软雅黑"/>
          <w:b w:val="0"/>
          <w:color w:val="222222"/>
          <w:sz w:val="18"/>
        </w:rPr>
        <w:t>研究方向：数字媒介用户行为、青年群体消费与身份认同；英语熟练</w:t>
      </w:r>
    </w:p>
    <w:p w14:paraId="6C5C416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28" w:after="7" w:line="240" w:lineRule="auto"/>
        <w:textAlignment w:val="auto"/>
      </w:pPr>
      <w:r>
        <w:rPr>
          <w:rFonts w:ascii="微软雅黑" w:hAnsi="微软雅黑" w:eastAsia="微软雅黑"/>
          <w:b/>
          <w:color w:val="222222"/>
          <w:sz w:val="20"/>
        </w:rPr>
        <w:t>济南大学 · 广告学 本科（专业前 1%、优秀毕业生）</w:t>
      </w:r>
      <w:r>
        <w:rPr>
          <w:rFonts w:ascii="微软雅黑" w:hAnsi="微软雅黑" w:eastAsia="微软雅黑"/>
          <w:b w:val="0"/>
          <w:color w:val="595959"/>
          <w:sz w:val="18"/>
        </w:rPr>
        <w:t>　2021.09–2025.06</w:t>
      </w:r>
    </w:p>
    <w:p w14:paraId="0D9300B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7" w:line="240" w:lineRule="auto"/>
        <w:textAlignment w:val="auto"/>
      </w:pPr>
      <w:r>
        <w:rPr>
          <w:rFonts w:ascii="微软雅黑" w:hAnsi="微软雅黑" w:eastAsia="微软雅黑"/>
          <w:b/>
          <w:color w:val="1F3A5F"/>
          <w:sz w:val="18"/>
        </w:rPr>
        <w:t xml:space="preserve">• </w:t>
      </w:r>
      <w:r>
        <w:rPr>
          <w:rFonts w:ascii="微软雅黑" w:hAnsi="微软雅黑" w:eastAsia="微软雅黑"/>
          <w:b w:val="0"/>
          <w:color w:val="222222"/>
          <w:sz w:val="18"/>
        </w:rPr>
        <w:t>GPA 4.57 / 5.0；核心课程：用户洞察与数据分析、整合营销传播</w:t>
      </w:r>
    </w:p>
    <w:p w14:paraId="0BF3AC4D">
      <w:pPr>
        <w:keepNext w:val="0"/>
        <w:keepLines w:val="0"/>
        <w:pageBreakBefore w:val="0"/>
        <w:widowControl/>
        <w:pBdr>
          <w:bottom w:val="single" w:color="1F3A5F" w:sz="6" w:space="2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52" w:after="20" w:line="240" w:lineRule="auto"/>
        <w:textAlignment w:val="auto"/>
      </w:pPr>
      <w:r>
        <w:rPr>
          <w:rFonts w:ascii="微软雅黑" w:hAnsi="微软雅黑" w:eastAsia="微软雅黑"/>
          <w:b/>
          <w:color w:val="1F3A5F"/>
          <w:sz w:val="23"/>
        </w:rPr>
        <w:t>工作经历</w:t>
      </w:r>
    </w:p>
    <w:p w14:paraId="7550B88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28" w:after="7" w:line="240" w:lineRule="auto"/>
        <w:textAlignment w:val="auto"/>
      </w:pPr>
      <w:r>
        <w:rPr>
          <w:rFonts w:ascii="微软雅黑" w:hAnsi="微软雅黑" w:eastAsia="微软雅黑"/>
          <w:b/>
          <w:color w:val="222222"/>
          <w:sz w:val="20"/>
        </w:rPr>
        <w:t>群邑 GroupM（北京）· 广告策划 Planner（伊利 · 畅意</w:t>
      </w:r>
      <w:r>
        <w:rPr>
          <w:rFonts w:hint="eastAsia"/>
          <w:b/>
          <w:color w:val="222222"/>
          <w:sz w:val="20"/>
          <w:lang w:val="en-US" w:eastAsia="zh-CN"/>
        </w:rPr>
        <w:t>/优酸乳/母品牌</w:t>
      </w:r>
      <w:r>
        <w:rPr>
          <w:rFonts w:ascii="微软雅黑" w:hAnsi="微软雅黑" w:eastAsia="微软雅黑"/>
          <w:b/>
          <w:color w:val="222222"/>
          <w:sz w:val="20"/>
        </w:rPr>
        <w:t>）</w:t>
      </w:r>
      <w:r>
        <w:rPr>
          <w:rFonts w:ascii="微软雅黑" w:hAnsi="微软雅黑" w:eastAsia="微软雅黑"/>
          <w:b w:val="0"/>
          <w:color w:val="595959"/>
          <w:sz w:val="18"/>
        </w:rPr>
        <w:t>　2025.12–2026.05</w:t>
      </w:r>
    </w:p>
    <w:p w14:paraId="615C4FF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7" w:line="240" w:lineRule="auto"/>
        <w:textAlignment w:val="auto"/>
      </w:pPr>
      <w:r>
        <w:rPr>
          <w:rFonts w:ascii="微软雅黑" w:hAnsi="微软雅黑" w:eastAsia="微软雅黑"/>
          <w:b/>
          <w:color w:val="1F3A5F"/>
          <w:sz w:val="18"/>
        </w:rPr>
        <w:t xml:space="preserve">• </w:t>
      </w:r>
      <w:r>
        <w:rPr>
          <w:rFonts w:ascii="微软雅黑" w:hAnsi="微软雅黑" w:eastAsia="微软雅黑"/>
          <w:b/>
          <w:color w:val="222222"/>
          <w:sz w:val="18"/>
        </w:rPr>
        <w:t>用户研究：</w:t>
      </w:r>
      <w:r>
        <w:rPr>
          <w:rFonts w:ascii="微软雅黑" w:hAnsi="微软雅黑" w:eastAsia="微软雅黑"/>
          <w:b w:val="0"/>
          <w:color w:val="222222"/>
          <w:sz w:val="18"/>
        </w:rPr>
        <w:t>主导伊利优酸乳、畅意等 Z 世代用户研究，输出人群分层与内容策略；IP 合作「恋与深空」上线当天 GMV 破千万、总曝光超 2.3 亿。</w:t>
      </w:r>
    </w:p>
    <w:p w14:paraId="511C3BE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7" w:line="240" w:lineRule="auto"/>
        <w:textAlignment w:val="auto"/>
      </w:pPr>
      <w:r>
        <w:rPr>
          <w:rFonts w:ascii="微软雅黑" w:hAnsi="微软雅黑" w:eastAsia="微软雅黑"/>
          <w:b/>
          <w:color w:val="1F3A5F"/>
          <w:sz w:val="18"/>
        </w:rPr>
        <w:t xml:space="preserve">• </w:t>
      </w:r>
      <w:r>
        <w:rPr>
          <w:rFonts w:ascii="微软雅黑" w:hAnsi="微软雅黑" w:eastAsia="微软雅黑"/>
          <w:b/>
          <w:color w:val="222222"/>
          <w:sz w:val="18"/>
        </w:rPr>
        <w:t>策略落地：</w:t>
      </w:r>
      <w:r>
        <w:rPr>
          <w:rFonts w:ascii="微软雅黑" w:hAnsi="微软雅黑" w:eastAsia="微软雅黑"/>
          <w:b w:val="0"/>
          <w:color w:val="222222"/>
          <w:sz w:val="18"/>
        </w:rPr>
        <w:t>搭建「用户反馈—内容优化」闭环，围绕品牌年轻化迭代 20+ 内容方向，新方案重大修改率控制在 15% 以内。</w:t>
      </w:r>
    </w:p>
    <w:p w14:paraId="28B0BB5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7" w:line="240" w:lineRule="auto"/>
        <w:textAlignment w:val="auto"/>
      </w:pPr>
      <w:r>
        <w:rPr>
          <w:rFonts w:ascii="微软雅黑" w:hAnsi="微软雅黑" w:eastAsia="微软雅黑"/>
          <w:b/>
          <w:color w:val="1F3A5F"/>
          <w:sz w:val="18"/>
        </w:rPr>
        <w:t xml:space="preserve">• </w:t>
      </w:r>
      <w:r>
        <w:rPr>
          <w:rFonts w:ascii="微软雅黑" w:hAnsi="微软雅黑" w:eastAsia="微软雅黑"/>
          <w:b/>
          <w:color w:val="222222"/>
          <w:sz w:val="18"/>
        </w:rPr>
        <w:t>增长运营：</w:t>
      </w:r>
      <w:r>
        <w:rPr>
          <w:rFonts w:ascii="微软雅黑" w:hAnsi="微软雅黑" w:eastAsia="微软雅黑"/>
          <w:b w:val="0"/>
          <w:color w:val="222222"/>
          <w:sz w:val="18"/>
        </w:rPr>
        <w:t>完成人群分层与差异化触达，优化 100+ 投放点位，用户触达 +45%、ROI +22%。</w:t>
      </w:r>
    </w:p>
    <w:p w14:paraId="491161D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7" w:line="240" w:lineRule="auto"/>
        <w:textAlignment w:val="auto"/>
      </w:pPr>
      <w:r>
        <w:rPr>
          <w:rFonts w:ascii="微软雅黑" w:hAnsi="微软雅黑" w:eastAsia="微软雅黑"/>
          <w:b/>
          <w:color w:val="1F3A5F"/>
          <w:sz w:val="18"/>
        </w:rPr>
        <w:t xml:space="preserve">• </w:t>
      </w:r>
      <w:r>
        <w:rPr>
          <w:rFonts w:ascii="微软雅黑" w:hAnsi="微软雅黑" w:eastAsia="微软雅黑"/>
          <w:b/>
          <w:color w:val="222222"/>
          <w:sz w:val="18"/>
        </w:rPr>
        <w:t>场景策划：</w:t>
      </w:r>
      <w:r>
        <w:rPr>
          <w:rFonts w:ascii="微软雅黑" w:hAnsi="微软雅黑" w:eastAsia="微软雅黑"/>
          <w:b w:val="0"/>
          <w:color w:val="222222"/>
          <w:sz w:val="18"/>
        </w:rPr>
        <w:t>洞察通勤人群「碎片化注意力 + 社交打卡」需求，策划线下沉浸式体验，打通「打卡 → UGC 二次传播」链路。</w:t>
      </w:r>
    </w:p>
    <w:p w14:paraId="684D1F8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28" w:after="7" w:line="240" w:lineRule="auto"/>
        <w:textAlignment w:val="auto"/>
      </w:pPr>
      <w:r>
        <w:rPr>
          <w:rFonts w:ascii="微软雅黑" w:hAnsi="微软雅黑" w:eastAsia="微软雅黑"/>
          <w:b/>
          <w:color w:val="222222"/>
          <w:sz w:val="20"/>
        </w:rPr>
        <w:t>电通 dentsu（北京）· 广告策划 Planner（蒙牛 纯甄 / 酸酸乳</w:t>
      </w:r>
      <w:r>
        <w:rPr>
          <w:rFonts w:hint="eastAsia"/>
          <w:b/>
          <w:color w:val="222222"/>
          <w:sz w:val="20"/>
          <w:lang w:val="en-US" w:eastAsia="zh-CN"/>
        </w:rPr>
        <w:t>/真果粒</w:t>
      </w:r>
      <w:r>
        <w:rPr>
          <w:rFonts w:ascii="微软雅黑" w:hAnsi="微软雅黑" w:eastAsia="微软雅黑"/>
          <w:b/>
          <w:color w:val="222222"/>
          <w:sz w:val="20"/>
        </w:rPr>
        <w:t>）</w:t>
      </w:r>
      <w:r>
        <w:rPr>
          <w:rFonts w:ascii="微软雅黑" w:hAnsi="微软雅黑" w:eastAsia="微软雅黑"/>
          <w:b w:val="0"/>
          <w:color w:val="595959"/>
          <w:sz w:val="18"/>
        </w:rPr>
        <w:t>　2025.06–2025.12</w:t>
      </w:r>
    </w:p>
    <w:p w14:paraId="5D8729B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7" w:line="240" w:lineRule="auto"/>
        <w:textAlignment w:val="auto"/>
      </w:pPr>
      <w:r>
        <w:rPr>
          <w:rFonts w:ascii="微软雅黑" w:hAnsi="微软雅黑" w:eastAsia="微软雅黑"/>
          <w:b/>
          <w:color w:val="1F3A5F"/>
          <w:sz w:val="18"/>
        </w:rPr>
        <w:t xml:space="preserve">• </w:t>
      </w:r>
      <w:r>
        <w:rPr>
          <w:rFonts w:ascii="微软雅黑" w:hAnsi="微软雅黑" w:eastAsia="微软雅黑"/>
          <w:b/>
          <w:color w:val="222222"/>
          <w:sz w:val="18"/>
        </w:rPr>
        <w:t>创意传播：</w:t>
      </w:r>
      <w:r>
        <w:rPr>
          <w:rFonts w:ascii="微软雅黑" w:hAnsi="微软雅黑" w:eastAsia="微软雅黑"/>
          <w:b w:val="0"/>
          <w:color w:val="222222"/>
          <w:sz w:val="18"/>
        </w:rPr>
        <w:t>主创蒙牛纯甄创意传播方案，独立产出 30+ 条创意内容（slogan、社交话题、短视频脚本等），持续策划面向 Z 世代的品牌年轻化内容。</w:t>
      </w:r>
    </w:p>
    <w:p w14:paraId="6FE09D5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7" w:line="240" w:lineRule="auto"/>
        <w:textAlignment w:val="auto"/>
      </w:pPr>
      <w:r>
        <w:rPr>
          <w:rFonts w:ascii="微软雅黑" w:hAnsi="微软雅黑" w:eastAsia="微软雅黑"/>
          <w:b/>
          <w:color w:val="1F3A5F"/>
          <w:sz w:val="18"/>
        </w:rPr>
        <w:t xml:space="preserve">• </w:t>
      </w:r>
      <w:r>
        <w:rPr>
          <w:rFonts w:ascii="微软雅黑" w:hAnsi="微软雅黑" w:eastAsia="微软雅黑"/>
          <w:b/>
          <w:color w:val="222222"/>
          <w:sz w:val="18"/>
        </w:rPr>
        <w:t>品牌策略：</w:t>
      </w:r>
      <w:r>
        <w:rPr>
          <w:rFonts w:ascii="微软雅黑" w:hAnsi="微软雅黑" w:eastAsia="微软雅黑"/>
          <w:b w:val="0"/>
          <w:color w:val="222222"/>
          <w:sz w:val="18"/>
        </w:rPr>
        <w:t>拆解用户决策链路（认知—兴趣—购买—复购），设计全年传播策略，助力品牌获 600 万新增预算。</w:t>
      </w:r>
    </w:p>
    <w:p w14:paraId="0C1F5D2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7" w:line="240" w:lineRule="auto"/>
        <w:textAlignment w:val="auto"/>
      </w:pPr>
      <w:r>
        <w:rPr>
          <w:rFonts w:ascii="微软雅黑" w:hAnsi="微软雅黑" w:eastAsia="微软雅黑"/>
          <w:b/>
          <w:color w:val="1F3A5F"/>
          <w:sz w:val="18"/>
        </w:rPr>
        <w:t xml:space="preserve">• </w:t>
      </w:r>
      <w:r>
        <w:rPr>
          <w:rFonts w:ascii="微软雅黑" w:hAnsi="微软雅黑" w:eastAsia="微软雅黑"/>
          <w:b/>
          <w:color w:val="222222"/>
          <w:sz w:val="18"/>
        </w:rPr>
        <w:t>综艺赞助：</w:t>
      </w:r>
      <w:r>
        <w:rPr>
          <w:rFonts w:ascii="微软雅黑" w:hAnsi="微软雅黑" w:eastAsia="微软雅黑"/>
          <w:b w:val="0"/>
          <w:color w:val="222222"/>
          <w:sz w:val="18"/>
        </w:rPr>
        <w:t>搭建蒙牛酸酸乳综艺赞助效果监测机制，追踪节目播出热度、品牌曝光与舆情，每周输出监测报告与优化建议。</w:t>
      </w:r>
    </w:p>
    <w:p w14:paraId="437DDF8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7" w:line="240" w:lineRule="auto"/>
        <w:textAlignment w:val="auto"/>
      </w:pPr>
      <w:r>
        <w:rPr>
          <w:rFonts w:ascii="微软雅黑" w:hAnsi="微软雅黑" w:eastAsia="微软雅黑"/>
          <w:b/>
          <w:color w:val="1F3A5F"/>
          <w:sz w:val="18"/>
        </w:rPr>
        <w:t xml:space="preserve">• </w:t>
      </w:r>
      <w:r>
        <w:rPr>
          <w:rFonts w:ascii="微软雅黑" w:hAnsi="微软雅黑" w:eastAsia="微软雅黑"/>
          <w:b/>
          <w:color w:val="222222"/>
          <w:sz w:val="18"/>
        </w:rPr>
        <w:t>竞品分析：</w:t>
      </w:r>
      <w:r>
        <w:rPr>
          <w:rFonts w:ascii="微软雅黑" w:hAnsi="微软雅黑" w:eastAsia="微软雅黑"/>
          <w:b w:val="0"/>
          <w:color w:val="222222"/>
          <w:sz w:val="18"/>
        </w:rPr>
        <w:t>对比安慕希、简醇等竞品用户画像与转化路径，每周输出竞品周报；裂变方案落地总曝光点击破 1 亿。</w:t>
      </w:r>
    </w:p>
    <w:p w14:paraId="47B370D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7" w:line="240" w:lineRule="auto"/>
        <w:textAlignment w:val="auto"/>
      </w:pPr>
      <w:r>
        <w:rPr>
          <w:rFonts w:ascii="微软雅黑" w:hAnsi="微软雅黑" w:eastAsia="微软雅黑"/>
          <w:b/>
          <w:color w:val="1F3A5F"/>
          <w:sz w:val="18"/>
        </w:rPr>
        <w:t xml:space="preserve">• </w:t>
      </w:r>
      <w:r>
        <w:rPr>
          <w:rFonts w:ascii="微软雅黑" w:hAnsi="微软雅黑" w:eastAsia="微软雅黑"/>
          <w:b/>
          <w:color w:val="222222"/>
          <w:sz w:val="18"/>
        </w:rPr>
        <w:t>数据监控：</w:t>
      </w:r>
      <w:r>
        <w:rPr>
          <w:rFonts w:ascii="微软雅黑" w:hAnsi="微软雅黑" w:eastAsia="微软雅黑"/>
          <w:b w:val="0"/>
          <w:color w:val="222222"/>
          <w:sz w:val="18"/>
        </w:rPr>
        <w:t>搭建多平台用户数据监控体系，实时追踪投放与用户行为，持续输出数据驱动的优化建议。</w:t>
      </w:r>
    </w:p>
    <w:p w14:paraId="602FA9E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28" w:after="7" w:line="240" w:lineRule="auto"/>
        <w:textAlignment w:val="auto"/>
      </w:pPr>
      <w:r>
        <w:rPr>
          <w:rFonts w:ascii="微软雅黑" w:hAnsi="微软雅黑" w:eastAsia="微软雅黑"/>
          <w:b/>
          <w:color w:val="222222"/>
          <w:sz w:val="20"/>
        </w:rPr>
        <w:t>群邑 GroupM（广州）· 广告投放 PPS（实习）（华为 / 荣耀）</w:t>
      </w:r>
      <w:r>
        <w:rPr>
          <w:rFonts w:ascii="微软雅黑" w:hAnsi="微软雅黑" w:eastAsia="微软雅黑"/>
          <w:b w:val="0"/>
          <w:color w:val="595959"/>
          <w:sz w:val="18"/>
        </w:rPr>
        <w:t>　2024.03–2024.07</w:t>
      </w:r>
    </w:p>
    <w:p w14:paraId="0828574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7" w:line="240" w:lineRule="auto"/>
        <w:textAlignment w:val="auto"/>
      </w:pPr>
      <w:r>
        <w:rPr>
          <w:rFonts w:ascii="微软雅黑" w:hAnsi="微软雅黑" w:eastAsia="微软雅黑"/>
          <w:b/>
          <w:color w:val="1F3A5F"/>
          <w:sz w:val="18"/>
        </w:rPr>
        <w:t xml:space="preserve">• </w:t>
      </w:r>
      <w:r>
        <w:rPr>
          <w:rFonts w:ascii="微软雅黑" w:hAnsi="微软雅黑" w:eastAsia="微软雅黑"/>
          <w:b/>
          <w:color w:val="222222"/>
          <w:sz w:val="18"/>
        </w:rPr>
        <w:t>投放优化：</w:t>
      </w:r>
      <w:r>
        <w:rPr>
          <w:rFonts w:ascii="微软雅黑" w:hAnsi="微软雅黑" w:eastAsia="微软雅黑"/>
          <w:b w:val="0"/>
          <w:color w:val="222222"/>
          <w:sz w:val="18"/>
        </w:rPr>
        <w:t>监控华为、荣耀、沛纳海等 5 个品牌信息流广告（日均曝光 100 万+），素材 CTR +17%、客户 ROI 达标率超预期 12%。</w:t>
      </w:r>
    </w:p>
    <w:p w14:paraId="33898B7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7" w:line="240" w:lineRule="auto"/>
        <w:textAlignment w:val="auto"/>
      </w:pPr>
      <w:r>
        <w:rPr>
          <w:rFonts w:ascii="微软雅黑" w:hAnsi="微软雅黑" w:eastAsia="微软雅黑"/>
          <w:b/>
          <w:color w:val="1F3A5F"/>
          <w:sz w:val="18"/>
        </w:rPr>
        <w:t xml:space="preserve">• </w:t>
      </w:r>
      <w:r>
        <w:rPr>
          <w:rFonts w:ascii="微软雅黑" w:hAnsi="微软雅黑" w:eastAsia="微软雅黑"/>
          <w:b/>
          <w:color w:val="222222"/>
          <w:sz w:val="18"/>
        </w:rPr>
        <w:t>人群定向：</w:t>
      </w:r>
      <w:r>
        <w:rPr>
          <w:rFonts w:ascii="微软雅黑" w:hAnsi="微软雅黑" w:eastAsia="微软雅黑"/>
          <w:b w:val="0"/>
          <w:color w:val="222222"/>
          <w:sz w:val="18"/>
        </w:rPr>
        <w:t>基于荣耀新品用户画像圈定 B 站、小红书高意向人群，首周触达占比 92%。</w:t>
      </w:r>
    </w:p>
    <w:p w14:paraId="20DCBC0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7" w:line="240" w:lineRule="auto"/>
        <w:textAlignment w:val="auto"/>
      </w:pPr>
      <w:r>
        <w:rPr>
          <w:rFonts w:ascii="微软雅黑" w:hAnsi="微软雅黑" w:eastAsia="微软雅黑"/>
          <w:b/>
          <w:color w:val="1F3A5F"/>
          <w:sz w:val="18"/>
        </w:rPr>
        <w:t xml:space="preserve">• </w:t>
      </w:r>
      <w:r>
        <w:rPr>
          <w:rFonts w:ascii="微软雅黑" w:hAnsi="微软雅黑" w:eastAsia="微软雅黑"/>
          <w:b/>
          <w:color w:val="222222"/>
          <w:sz w:val="18"/>
        </w:rPr>
        <w:t>舆情管理：</w:t>
      </w:r>
      <w:r>
        <w:rPr>
          <w:rFonts w:ascii="微软雅黑" w:hAnsi="微软雅黑" w:eastAsia="微软雅黑"/>
          <w:b w:val="0"/>
          <w:color w:val="222222"/>
          <w:sz w:val="18"/>
        </w:rPr>
        <w:t>参与 SK-II 小红书负面声量管理，48 小时内负面声量下降 83%。</w:t>
      </w:r>
    </w:p>
    <w:p w14:paraId="1C4DA8E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28" w:after="7" w:line="240" w:lineRule="auto"/>
        <w:textAlignment w:val="auto"/>
      </w:pPr>
      <w:r>
        <w:rPr>
          <w:rFonts w:ascii="微软雅黑" w:hAnsi="微软雅黑" w:eastAsia="微软雅黑"/>
          <w:b/>
          <w:color w:val="222222"/>
          <w:sz w:val="20"/>
        </w:rPr>
        <w:t>广州六马教育 · 思维商数训练营（用户访谈与社群运营）</w:t>
      </w:r>
      <w:r>
        <w:rPr>
          <w:rFonts w:ascii="微软雅黑" w:hAnsi="微软雅黑" w:eastAsia="微软雅黑"/>
          <w:b w:val="0"/>
          <w:color w:val="595959"/>
          <w:sz w:val="18"/>
        </w:rPr>
        <w:t>　2024 / 2025 暑期</w:t>
      </w:r>
    </w:p>
    <w:p w14:paraId="2220014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7" w:line="240" w:lineRule="auto"/>
        <w:textAlignment w:val="auto"/>
      </w:pPr>
      <w:r>
        <w:rPr>
          <w:rFonts w:ascii="微软雅黑" w:hAnsi="微软雅黑" w:eastAsia="微软雅黑"/>
          <w:b/>
          <w:color w:val="1F3A5F"/>
          <w:sz w:val="18"/>
        </w:rPr>
        <w:t xml:space="preserve">• </w:t>
      </w:r>
      <w:r>
        <w:rPr>
          <w:rFonts w:ascii="微软雅黑" w:hAnsi="微软雅黑" w:eastAsia="微软雅黑"/>
          <w:b w:val="0"/>
          <w:color w:val="222222"/>
          <w:sz w:val="18"/>
        </w:rPr>
        <w:t>通过 30+ 位家长深度访谈提炼核心决策要素并纳入公司 SOP；运营 7 个家长社群，以「每日反馈 + 成长激励」实现次期连营率 +35%。</w:t>
      </w:r>
    </w:p>
    <w:p w14:paraId="1BF03C22">
      <w:pPr>
        <w:keepNext w:val="0"/>
        <w:keepLines w:val="0"/>
        <w:pageBreakBefore w:val="0"/>
        <w:widowControl/>
        <w:pBdr>
          <w:bottom w:val="single" w:color="1F3A5F" w:sz="6" w:space="2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52" w:after="20" w:line="240" w:lineRule="auto"/>
        <w:textAlignment w:val="auto"/>
      </w:pPr>
      <w:r>
        <w:rPr>
          <w:rFonts w:ascii="微软雅黑" w:hAnsi="微软雅黑" w:eastAsia="微软雅黑"/>
          <w:b/>
          <w:color w:val="1F3A5F"/>
          <w:sz w:val="23"/>
        </w:rPr>
        <w:t>荣誉与其他</w:t>
      </w:r>
    </w:p>
    <w:p w14:paraId="44EFC3A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7" w:line="240" w:lineRule="auto"/>
        <w:textAlignment w:val="auto"/>
      </w:pPr>
      <w:r>
        <w:rPr>
          <w:rFonts w:ascii="微软雅黑" w:hAnsi="微软雅黑" w:eastAsia="微软雅黑"/>
          <w:b/>
          <w:color w:val="1F3A5F"/>
          <w:sz w:val="18"/>
        </w:rPr>
        <w:t xml:space="preserve">• </w:t>
      </w:r>
      <w:r>
        <w:rPr>
          <w:rFonts w:ascii="微软雅黑" w:hAnsi="微软雅黑" w:eastAsia="微软雅黑"/>
          <w:b w:val="0"/>
          <w:color w:val="222222"/>
          <w:sz w:val="18"/>
        </w:rPr>
        <w:t>国家艺术基金儿童图画书项目核心成员，获 4 项国家级大奖；大广赛省奖、米兰设计周国奖。</w:t>
      </w:r>
    </w:p>
    <w:p w14:paraId="5B53F15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7" w:line="240" w:lineRule="auto"/>
        <w:textAlignment w:val="auto"/>
      </w:pPr>
      <w:r>
        <w:rPr>
          <w:rFonts w:ascii="微软雅黑" w:hAnsi="微软雅黑" w:eastAsia="微软雅黑"/>
          <w:b/>
          <w:color w:val="1F3A5F"/>
          <w:sz w:val="18"/>
        </w:rPr>
        <w:t xml:space="preserve">• </w:t>
      </w:r>
      <w:r>
        <w:rPr>
          <w:rFonts w:ascii="微软雅黑" w:hAnsi="微软雅黑" w:eastAsia="微软雅黑"/>
          <w:b w:val="0"/>
          <w:color w:val="222222"/>
          <w:sz w:val="18"/>
        </w:rPr>
        <w:t>负责泡泡玛特、碧生源等品牌广告策划与拍摄；用 AI 生图 + PS 完成云南白药平面视觉；中共党员。</w:t>
      </w:r>
    </w:p>
    <w:sectPr>
      <w:pgSz w:w="11906" w:h="16838"/>
      <w:pgMar w:top="369" w:right="794" w:bottom="369" w:left="794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Cambria">
    <w:altName w:val="苹方-简"/>
    <w:panose1 w:val="02040503050406030204"/>
    <w:charset w:val="00"/>
    <w:family w:val="auto"/>
    <w:pitch w:val="default"/>
    <w:sig w:usb0="00000000" w:usb1="00000000" w:usb2="00000000" w:usb3="00000000" w:csb0="0000019F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ＭＳ 明朝">
    <w:altName w:val="Hiragino Sans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Hiragino Sans">
    <w:panose1 w:val="020B0300000000000000"/>
    <w:charset w:val="80"/>
    <w:family w:val="auto"/>
    <w:pitch w:val="default"/>
    <w:sig w:usb0="E00002FF" w:usb1="7AE7FFFF" w:usb2="00000012" w:usb3="00000000" w:csb0="0002000D" w:csb1="00000000"/>
  </w:font>
  <w:font w:name="ＭＳ 明朝">
    <w:altName w:val="Hiragino San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微软雅黑">
    <w:altName w:val="方正雅意黑 GB18030L2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雅意黑 GB18030L2">
    <w:panose1 w:val="02000500000000000000"/>
    <w:charset w:val="86"/>
    <w:family w:val="auto"/>
    <w:pitch w:val="default"/>
    <w:sig w:usb0="E00002FF" w:usb1="38CFFCFB" w:usb2="00000016" w:usb3="00000000" w:csb0="6004019F" w:csb1="DFD7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ＭＳ ゴシック">
    <w:altName w:val="Hiragino Sans"/>
    <w:panose1 w:val="00000000000000000000"/>
    <w:charset w:val="80"/>
    <w:family w:val="modern"/>
    <w:pitch w:val="default"/>
    <w:sig w:usb0="00000000" w:usb1="00000000" w:usb2="00000010" w:usb3="00000000" w:csb0="00020000" w:csb1="00000000"/>
  </w:font>
  <w:font w:name="Courier">
    <w:altName w:val="苹方-简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ＭＳ 明朝">
    <w:altName w:val="Hiragino San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ＭＳ ゴシック">
    <w:altName w:val="Arial Unicode M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1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1FFD4D2E"/>
    <w:rsid w:val="475F596E"/>
    <w:rsid w:val="FFD90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semiHidden="0" w:name="macro"/>
    <w:lsdException w:uiPriority="99" w:name="toa heading"/>
    <w:lsdException w:uiPriority="99" w:semiHidden="0" w:name="List"/>
    <w:lsdException w:uiPriority="99" w:semiHidden="0" w:name="List Bullet"/>
    <w:lsdException w:uiPriority="99" w:semiHidden="0" w:name="List Number"/>
    <w:lsdException w:uiPriority="99" w:semiHidden="0" w:name="List 2"/>
    <w:lsdException w:uiPriority="99" w:semiHidden="0" w:name="List 3"/>
    <w:lsdException w:uiPriority="99" w:name="List 4"/>
    <w:lsdException w:uiPriority="99" w:name="List 5"/>
    <w:lsdException w:uiPriority="99" w:semiHidden="0" w:name="List Bullet 2"/>
    <w:lsdException w:uiPriority="99" w:semiHidden="0" w:name="List Bullet 3"/>
    <w:lsdException w:uiPriority="99" w:name="List Bullet 4"/>
    <w:lsdException w:uiPriority="99" w:name="List Bullet 5"/>
    <w:lsdException w:uiPriority="99" w:semiHidden="0" w:name="List Number 2"/>
    <w:lsdException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semiHidden="0" w:name="Body Text"/>
    <w:lsdException w:uiPriority="99" w:name="Body Text Indent"/>
    <w:lsdException w:uiPriority="99" w:semiHidden="0" w:name="List Continue"/>
    <w:lsdException w:uiPriority="99" w:semiHidden="0" w:name="List Continue 2"/>
    <w:lsdException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semiHidden="0" w:name="Body Text 2"/>
    <w:lsdException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微软雅黑" w:hAnsi="微软雅黑" w:eastAsia="微软雅黑" w:cstheme="minorBidi"/>
      <w:sz w:val="18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uiPriority w:val="1"/>
  </w:style>
  <w:style w:type="table" w:default="1" w:styleId="3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uiPriority w:val="99"/>
    <w:pPr>
      <w:spacing w:after="120"/>
    </w:pPr>
  </w:style>
  <w:style w:type="paragraph" w:styleId="20">
    <w:name w:val="List Number 3"/>
    <w:basedOn w:val="1"/>
    <w:unhideWhenUsed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uiPriority w:val="99"/>
    <w:pPr>
      <w:spacing w:after="120" w:line="480" w:lineRule="auto"/>
    </w:pPr>
  </w:style>
  <w:style w:type="paragraph" w:styleId="29">
    <w:name w:val="List Continue 2"/>
    <w:basedOn w:val="1"/>
    <w:unhideWhenUsed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uiPriority w:val="99"/>
  </w:style>
  <w:style w:type="character" w:customStyle="1" w:styleId="136">
    <w:name w:val="Footer Char"/>
    <w:basedOn w:val="132"/>
    <w:link w:val="24"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uiPriority w:val="99"/>
  </w:style>
  <w:style w:type="character" w:customStyle="1" w:styleId="145">
    <w:name w:val="Body Text 2 Char"/>
    <w:basedOn w:val="132"/>
    <w:link w:val="28"/>
    <w:uiPriority w:val="99"/>
  </w:style>
  <w:style w:type="character" w:customStyle="1" w:styleId="146">
    <w:name w:val="Body Text 3 Char"/>
    <w:basedOn w:val="132"/>
    <w:link w:val="17"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tyleName="APA" SelectedStyle="/APA.XSL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1340</Words>
  <Characters>1612</Characters>
  <Lines>0</Lines>
  <Paragraphs>0</Paragraphs>
  <TotalTime>222</TotalTime>
  <ScaleCrop>false</ScaleCrop>
  <LinksUpToDate>false</LinksUpToDate>
  <CharactersWithSpaces>1778</CharactersWithSpaces>
  <Application>WPS Office_12.1.28496.28496_F1E327BC-269C-435d-A152-05C5408002CA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2013-12-24T15:15:00Z</dcterms:created>
  <dc:creator>python-docx</dc:creator>
  <dc:description>generated by python-docx</dc:description>
  <cp:lastModifiedBy>包包</cp:lastModifiedBy>
  <dcterms:modified xsi:type="dcterms:W3CDTF">2026-10-14T18:59:43Z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2052-12.1.28496.28496</vt:lpwstr>
  </property>
  <property fmtid="{D5CDD505-2E9C-101B-9397-08002B2CF9AE}" pid="3" name="ICV">
    <vt:lpwstr>8D65AEB8A03BF1BA9F60CF6ABCE7EBDB_43</vt:lpwstr>
  </property>
</Properties>
</file>